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欧盟新能源汽车·电池·CBAM政策年表（2010–2026.04）</w:t>
      </w:r>
    </w:p>
    <w:p>
      <w:r>
        <w:rPr>
          <w:color w:val="666666"/>
          <w:sz w:val="16"/>
        </w:rPr>
        <w:t>基于政府公开信息整理。标注[需进一步验证]的细节建议以官方原文为准。</w:t>
      </w:r>
    </w:p>
    <w:p>
      <w:r>
        <w:rPr>
          <w:b/>
          <w:sz w:val="18"/>
        </w:rPr>
        <w:t>共 42 条政策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567"/>
            <w:shd w:fill="0F2B46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序号</w:t>
            </w:r>
          </w:p>
        </w:tc>
        <w:tc>
          <w:tcPr>
            <w:tcW w:type="dxa" w:w="1417"/>
            <w:shd w:fill="0F2B46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发布时间</w:t>
            </w:r>
          </w:p>
        </w:tc>
        <w:tc>
          <w:tcPr>
            <w:tcW w:type="dxa" w:w="2268"/>
            <w:shd w:fill="0F2B46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政策名称</w:t>
            </w:r>
          </w:p>
        </w:tc>
        <w:tc>
          <w:tcPr>
            <w:tcW w:type="dxa" w:w="1701"/>
            <w:shd w:fill="0F2B46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发布机构</w:t>
            </w:r>
          </w:p>
        </w:tc>
        <w:tc>
          <w:tcPr>
            <w:tcW w:type="dxa" w:w="2835"/>
            <w:shd w:fill="0F2B46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核心内容</w:t>
            </w:r>
          </w:p>
        </w:tc>
        <w:tc>
          <w:tcPr>
            <w:tcW w:type="dxa" w:w="1417"/>
            <w:shd w:fill="0F2B46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数据来源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2009.04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Directive 2009/33/EC on the promotion of clean and energy-efficient road transport vehicles（清洁车辆指令）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欧洲议会 &amp; 欧盟理事会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要求公共采购将车辆全寿命能耗和CO₂/污染物排放纳入考量，推动清洁车辆进入公共车队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EUR-Lex: CELEX 32009L0033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2010.04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EU Green Cars Initiative（欧盟绿色汽车倡议）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欧洲委员会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作为欧洲经济复苏计划（€50亿）一部分，支持汽车R&amp;D与低碳技术，涵盖电池及电动动力总成研发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European Commission, 2010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3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2011.12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Smart Grids &amp; E-Mobility Action Plan（智能电网与电动汽车行动计划）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欧洲委员会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推动EV与智能电网协同发展，统一充电标准框架，支持V2G技术研发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European Commission, Smart Grids Task Force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2013.01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Clean Power for Transport Strategy（清洁燃料战略）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欧洲委员会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提出建设替代燃料基础设施（充电、LNG、氢能），为替代燃料基础设施指令（AFID）奠定基础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COM(2013) 17 final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5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2014.10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Directive 2014/94/EU on the deployment of alternative fuels infrastructure (AFID)（替代燃料基础设施指令）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欧洲议会 &amp; 欧盟理事会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成员国制定国家政策框架（NPF）确保充电/加氢站合理覆盖；统一充电接口Type 2/CCS标准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EUR-Lex: CELEX 32014L0094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6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2015.07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Energy Union Strategy（能源联盟战略）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欧洲委员会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设定能源安全、内部市场、能效、脱碳、R&amp;D五大维度，将EV列为交通脱碳关键路径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COM(2015) 80 final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7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2016.11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European Strategy for Low-Emission Mobility（欧洲低排放交通战略）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欧洲委员会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提出加速零排放车辆部署、建设充电基础设施统一市场、推动替代燃料和数字化交通应用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COM(2016) 501 final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8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2017.03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IPCEI Framework for Batteries（电池领域欧洲共同利益重大项目框架）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欧洲委员会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批准成员国在电池价值链设立IPCEI，允许以国家援助形式支持电池研发和生产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European Commission, DG COMP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9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2017.10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European Battery Alliance (EBA) Launched（欧洲电池联盟成立）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欧洲委员会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副主席Šefčovič联合EU各国、工业界和科研机构发起，目标建立欧盟自主电池制造产业链。当时EU仅占全球电池产能约3%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European Commission, single-market-economy.ec.europa.eu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10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2018.05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Strategic Action Plan on Batteries（电池战略行动计划）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欧洲委员会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涵盖原材料、制造、回收全价值链六大优先领域；目标在欧洲建立完整电池产业竞争力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COM(2018) 293 final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11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2019.04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Regulation (EU) 2019/631 — CO₂ emission performance standards for new passenger cars and new light commercial vehicles（乘用车/轻型商用车CO₂排放标准）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欧洲议会 &amp; 欧盟理事会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设定2025目标（乘用车95g/km，货车147g/km）；2030减排-37.5%（乘用车）/-31%（货车）；引入ZLEV超级积分机制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EUR-Lex: CELEX 32019R0631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12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2019.06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Regulation (EU) 2019/1242 — CO₂ emission performance standards for new heavy-duty vehicles（重型车CO₂排放标准）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欧洲议会 &amp; 欧盟理事会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首次EU层面重型车CO₂标准；覆盖16吨以上重型卡车（~70% HDV CO₂）；2025减排15%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EUR-Lex: CELEX 32019R1242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13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2019.12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European Green Deal（欧洲绿色协议）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欧洲委员会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最核心纲领——2050气候中和；2030净GHG减排≥55%（vs 1990）；推动清洁交通、循环经济、能源转型；宣布修订所有气候与能源立法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European Commission, COM(2019) 640 final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14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2020.03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New Circular Economy Action Plan（新循环经济行动计划）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欧洲委员会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含电池法规提案、可持续产品立法、关键原材料循环等，强调电池循环性和可持续性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European Commission, environment.ec.europa.eu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15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2020.07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Critical Raw Materials Action Plan（关键原材料行动计划）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欧洲委员会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将锂、钴、石墨、稀土等列入关键原材料清单；制定行动计划减少对单一供应国依赖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COM(2020) 474 final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16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2020.12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Sustainable and Smart Mobility Strategy（可持续和智能交通战略）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欧洲委员会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设定交通领域2050减排90%（vs 1990）；里程碑：2030年≥3000万辆零排放汽车上路，100个气候中和城市；含82项行动倡议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EUR-Lex: CELEX 52020DC0789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17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2021.02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Second Battery IPCEI Approved（第二电池IPCEI获批准）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欧洲委员会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批准第二个电池IPCEI（"EuBatIn"），12个成员国，€29亿公共资金，覆盖电池全价值链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DG COMP State Aid SA.55807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18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2021.06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European Climate Law — Regulation (EU) 2021/1119（欧洲气候法）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欧洲议会 &amp; 欧盟理事会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2050气候中和写为法律义务；2030净GHG减排≥55%（vs 1990）；要求连续设定2030/2040/2050目标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EUR-Lex: CELEX 32021R1119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19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2021.07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Fit for 55 Package（"减碳55"一揽子立法提案）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欧洲委员会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史上最大规模气候立法包（15项提案）；核心：EU ETS改革、CBAM、乘用车CO₂标准修订（2035零排放）、AFIR、RED修订、EE修订、社会气候基金等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European Commission, ec.europa.eu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20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2021.07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CBAM Proposal — Regulation establishing a carbon border adjustment mechanism（碳边境调节机制提案）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欧洲委员会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对进口商品（水泥、钢铁、铝、化肥、电力、氢）内含碳排放收费；价格等价EU ETS碳价；过渡期2023起，正式征收2026起；与EU ETS免费配额退出挂钩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COM(2021) 564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21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2022.06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European Parliament votes 2035 ICE ban（欧洲议会投票通过2035禁燃）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欧洲议会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正式投票：2035年起新注册乘用车/货车CO₂降至0（实质禁售内燃机新车含轿车/SUV/货车）；要求2027年委员会审查进展，考虑技术中性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European Parliament, Press Release 20220608IPR32127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22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2022.12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Provisional agreement on CBAM（CBAM临时协议达成）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欧洲议会 &amp; 欧盟理事会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过渡期2023.10–2025.12；正式征收2026.01起；与EU ETS免费配额同步退出；覆盖水泥、钢铁、铝、化肥、电力、氢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European Commission, Press Corner Dec 2022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23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2022.12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Alternative Fuels Infrastructure Regulation (AFIR) provisional agreement（替代燃料基础设施法规临时协议）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欧洲议会 &amp; 欧盟理事会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设定强制目标：2026年TEN-T每60km一个EV快充站；2028年每120km一个卡车充电站；2031年每200km一个加氢站；统一支付系统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European Commission, Press Corner Dec 2022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24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2023.02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Green Deal Industrial Plan / Net-Zero Industry Act proposal（绿色协议产业计划/净零工业法案提案）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欧洲委员会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回应美国IRA法案；含NZIA、CRMA、电力市场改革；目标2030年EU本土净零技术制造达年部署需求40%；电池为战略净零技术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European Commission, ec.europa.eu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25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2023.03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Critical Raw Materials Act proposal（关键原材料法案提案）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欧洲委员会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2030基准：战略原材料采矿10%、加工40%、回收25%来自EU内部；任何加工阶段单国来源≤65%；简化许可审批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COM(2023) 160 final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26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2023.04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Regulation (EU) 2023/851 — Amending CO₂ standards for cars and vans（乘用车/货车CO₂标准修订正式通过）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欧洲议会 &amp; 欧盟理事会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正式立法：2030乘用车-55%、货车-50%；2035年新车CO₂零排放（实质禁燃）；2026年委员会审查技术中性[注1]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EUR-Lex: CELEX 32023R0851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27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2023.06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Regulation (EU) 2023/1542 — Batteries Regulation adopted（新电池法规通过）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欧洲议会 &amp; 欧盟理事会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全球首个全生命周期电池法规；碳足迹声明/等级/阈值、再生材料比例、电池护照（Battery Passport）、供应链尽职调查、回收目标；2024起分阶段实施；2027年引入电池护照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EUR-Lex: CELEX 32023R1542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28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2023.08.17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Regulation (EU) 2023/1542 enters into force（新电池法规生效）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欧洲议会 &amp; 欧盟理事会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正式生效；2025起碳足迹标签；2026起碳足迹等级；2027起碳足迹阈值、电池护照；2030起再生材料强制比例（Co 16%、Pb 85%、Li 6%、Ni 6%）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European Commission, environment.ec.europa.eu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29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2023.10.01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CBAM transitional period begins（CBAM过渡期启动）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欧洲委员会（DG TAXUD）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过渡期2023.10–2025.12；进口商每季度报告内含碳排放，暂不支付费用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European Commission, taxation-customs.ec.europa.eu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30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2023.09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Regulation (EU) 2023/1804 — Alternative Fuels Infrastructure Regulation (AFIR) formally adopted（替代燃料基础设施法规正式通过）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欧洲议会 &amp; 欧盟理事会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AFID升级为具有法律约束力的法规；取代2014/94/EU指令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EUR-Lex: CELEX 32023R1804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31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2024.04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Regulation (EU) 2024/1257 — Euro 7 adopted（欧7排放标准通过）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欧洲议会 &amp; 欧盟理事会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统一乘用车、货车、卡车、公交排放规则；首纳制动/轮胎颗粒物排放限制和电池耐久性要求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EUR-Lex: CELEX 32024R1257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32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2024.05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Regulation (EU) 2024/1610 — HDV CO₂ emission standards revised（重型车CO₂排放标准修订）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欧洲议会 &amp; 欧盟理事会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扩大适用范围；新目标：2030 -45%、2035 -65%、2040 -90%；2030起90%新城市公交零排放，2035 100%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EUR-Lex: CELEX 32024R1610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33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2024.10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EU imposes additional tariffs on Chinese BEVs（欧盟对中国产纯电动汽车加征关税）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欧洲委员会（DG TRADE）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反补贴调查后对中国产BEV加征额外关税：比亚迪17.0%、吉利18.8%、上汽35.3%（叠加10%基础关税）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European Commission, Official Journal Oct 2024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34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2024.12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Critical Raw Materials Act enters into force — Regulation (EU) 2024/1252（关键原材料法案生效）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欧洲议会 &amp; 欧盟理事会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正式生效；17种战略原材料、34种关键原材料清单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EUR-Lex: CELEX 32024R1252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35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2025.05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Net-Zero Industry Act enters into force — Regulation (EU) 2025/703（净零工业法案生效）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欧洲议会 &amp; 欧盟理事会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电池列为战略净零技术；采购/拍卖引入可持续性和韧性非价格标准；2030年EU净零技术制造≥年部署需求40%；设立净零加速谷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European Commission, single-market-economy.ec.europa.eu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36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2025.10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EU-China EV tariff framework agreement（EU-中国EV关税争端框架协议）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欧洲委员会 &amp; 中国商务部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最低进口价格（MIP）机制替代部分反补贴关税；中方撤WTO诉讼 [需进一步验证细节]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European Commission Press Corner (2025.10)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37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2025.12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Automotive Package（汽车一揽子方案）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欧洲委员会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三项核心：①CO₂标准修订增加灵活性——2035起90%尾气零排放，剩余10%可通过低碳钢、e-fuels、生物燃料补偿；②Battery Booster（€18亿电池制造支持）；③Automotive Omnibus（行政简化，年省~€7.06亿）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European Commission, transport.ec.europa.eu; IP/25/3051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38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2025.12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CO₂ Standards Review — 2035 ICE ban flexibility adjustments（CO₂标准审查/2035灵活性调整）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欧洲委员会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在2023/851基础上调整：维持2035零排放方向，但增加合规灵活性选项（e-fuels、生物燃料、低碳材料抵消）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European Commission, IP/25/3051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39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2026.01.01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CBAM definitive regime begins（CBAM正式征收阶段启动）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欧洲委员会（DG TAXUD）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超50吨/年阈值进口商须申请授权CBAM申报人；购买CBAM证书（基于EU ETS配额拍卖价季度均价；2027起改为周均价）；年度申报并注销证书；可扣除已支付出口国碳价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European Commission, taxation-customs.ec.europa.eu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40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2026.02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Battery carbon footprint labelling enters into force（电池碳足迹等级标签生效）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欧洲委员会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EU电池法规第7条实施——EV电池碳足迹等级A-E五级标签强制要求；所有在EU市场销售EV电池须标注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European Commission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41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2026.03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European Climate Law amended — 2040 target set（欧洲气候法修订——设立2040目标）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欧洲议会 &amp; 欧盟理事会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新增2040年法定目标：净GHG排放较1990年降低90%（境内85%、国际碳信用≤5%）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European Commission, climate.ec.europa.eu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42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2026.03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CBAM Q1 2026 certificate price published（CBAM首季证书价格公布）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欧洲委员会（DG TAXUD）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CBAM证书价格基于EU ETS配额拍卖价季度均价公布，价格约€89/吨CO₂ [需进一步验证精确数字]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European Commission, taxation-customs.ec.europa.eu</w:t>
            </w:r>
          </w:p>
        </w:tc>
      </w:tr>
    </w:tbl>
    <w:p>
      <w:pPr>
        <w:jc w:val="right"/>
      </w:pPr>
      <w:r>
        <w:rPr>
          <w:color w:val="999999"/>
          <w:sz w:val="14"/>
        </w:rPr>
        <w:t>Generated: 2026-05-04 Rev.1 | Contact: www.humanaifit.com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