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EU NEV, Battery &amp; CBAM Policy Timeline (2010–2026.04)</w:t>
      </w:r>
    </w:p>
    <w:p>
      <w:r>
        <w:rPr>
          <w:color w:val="666666"/>
          <w:sz w:val="16"/>
        </w:rPr>
        <w:t>Based on government public information. Items marked [needs verification] should be cross-checked with original documents.</w:t>
      </w:r>
    </w:p>
    <w:p>
      <w:r>
        <w:rPr>
          <w:b/>
          <w:sz w:val="18"/>
        </w:rPr>
        <w:t>共 42 条政策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56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type="dxa" w:w="141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type="dxa" w:w="2268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Policy Name</w:t>
            </w:r>
          </w:p>
        </w:tc>
        <w:tc>
          <w:tcPr>
            <w:tcW w:type="dxa" w:w="1701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Issuing Authority</w:t>
            </w:r>
          </w:p>
        </w:tc>
        <w:tc>
          <w:tcPr>
            <w:tcW w:type="dxa" w:w="2835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Core Content</w:t>
            </w:r>
          </w:p>
        </w:tc>
        <w:tc>
          <w:tcPr>
            <w:tcW w:type="dxa" w:w="141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Source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2009.04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Directive 2009/33/EC on the promotion of clean and energy-efficient road transport vehicles (Clean Vehicles Directive)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Public procurement must account for lifetime energy consumption and CO₂/pollutant emissions; promotes clean vehicles in public fleets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32009L0033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2010.04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EU Green Cars Initiative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Part of European Economic Recovery Plan (~€5bn); supports automotive R&amp;D in low-carbon tech including batteries and electric powertrains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2010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2011.12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Smart Grids &amp; E-Mobility Action Plan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Promotes EV-smart grid integration; unified charging standard framework; supports V2G technology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Smart Grids Task Force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2013.01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Clean Power for Transport Strategy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Proposes alternative fuels infrastructure (charging, LNG, hydrogen); lays foundation for 2014 AFID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COM(2013) 17 final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2014.10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Directive 2014/94/EU on the deployment of alternative fuels infrastructure (AFID)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Member states must develop National Policy Frameworks (NPFs) for charging/hydrogen coverage; unified Type 2/CCS charging standard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32014L0094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2015.07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Energy Union Strategy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Five dimensions: energy security, internal market, energy efficiency, decarbonisation, R&amp;D; identifies EVs as key transport decarbonisation pathway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COM(2015) 80 final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2016.11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Strategy for Low-Emission Mobility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Accelerates ZEV deployment, unified charging infrastructure market, alternative fuels and digital transport applications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COM(2016) 501 final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2017.03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IPCEI Framework for Batteries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Approves Important Projects of Common European Interest (IPCEI) in battery value chain; permits state aid for battery R&amp;D and production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DG COMP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2017.10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Battery Alliance (EBA) Launched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VP Šefčovič launched EBA with Member States, industry and research; goal: build autonomous EU battery manufacturing. EU had ~3% of global cell capacity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single-market-economy.ec.europa.eu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2018.05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Strategic Action Plan on Batteries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Six priority areas covering full value chain (raw materials, manufacturing, recycling, tech, skills, regulation); target: build complete EU battery industry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COM(2018) 293 final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2019.04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Regulation (EU) 2019/631 — CO₂ emission performance standards for new passenger cars and light commercial vehicles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2025 targets (cars 95g/km, vans 147g/km); 2030 reduction -37.5% (cars) / -31% (vans); ZLEV super-credit mechanism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32019R0631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2019.06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2019/1242 — CO₂ emission performance standards for new heavy-duty vehicles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First EU-wide HDV CO₂ standards; covers HD lorries &gt;16t (~70% HDV CO₂); 2025 target: -15%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32019R1242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2019.12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Green Deal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Foundational strategy: climate neutrality by 2050; 2030 net GHG ≥ -55% (vs 1990); drives clean mobility, circular economy, energy transition; commits to revising all climate/energy legislation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COM(2019) 640 final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2020.03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New Circular Economy Action Plan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Includes Battery Regulation proposal, sustainable product legislation, critical raw materials circularity; emphasizes battery circularity and sustainability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environment.ec.europa.eu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2020.07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Critical Raw Materials Action Plan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Lists Li, Co, graphite, rare earths as critical; action plan to reduce single-supplier dependency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COM(2020) 474 final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2020.12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Sustainable and Smart Mobility Strategy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Transport 90% emission cut by 2050 (vs 1990); milestones: ≥30M ZEVs on road by 2030, 100 climate-neutral cities; 82 initiatives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52020DC0789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2021.02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Second Battery IPCEI Approved ("EuBatIn")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12 Member States, €2.9bn public funding, full battery value chain coverage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DG COMP State Aid SA.55807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2021.06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European Climate Law — Regulation (EU) 2021/1119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2050 climate neutrality legally binding; 2030 net GHG ≥ -55% (vs 1990); mandates consecutive 2030/2040/2050 targets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32021R1119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2021.07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Fit for 55 Package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Largest climate legislative package (15 proposals). Core: EU ETS reform, CBAM, car CO₂ standards revision (2035 zero-emission), AFIR, RED, EE Directive, Social Climate Fund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2021.07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CBAM Proposal — Regulation establishing a carbon border adjustment mechanism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Charges on embedded carbon in imports (cement, iron/steel, aluminium, fertilisers, electricity, hydrogen); price = EU ETS carbon price; transition from 2023, definitive from 2026; linked to EU ETS free allowance phase-out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COM(2021) 564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2022.06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Parliament votes to ban new ICE cars/vans from 2035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Parliament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Votes: 2035 onwards newly registered cars/vans must have zero CO₂ (de facto ICE ban including sedans/SUVs/vans); Commission to review progress by 2026 considering technology neutrality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Parliament, Press Release 20220608IPR32127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2022.12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Provisional Political Agreement on CBAM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Transitional phase 2023.10–2025.12; definitive regime from 2026.01; phased phase-out of EU ETS free allowances; sectors: cement, steel, aluminium, fertilisers, electricity, hydrogen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Press Corner Dec 2022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2022.12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Alternative Fuels Infrastructure Regulation (AFIR) Provisional Agreement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Targets: EV fast charger every 60km on TEN-T by 2026; truck charger every 120km by 2028; hydrogen station every 200km by 2031; unified payment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Press Corner Dec 2022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2023.02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Green Deal Industrial Plan / Net-Zero Industry Act Proposal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Response to US IRA; includes NZIA, CRMA, electricity market reform; target: EU domestic net-zero tech manufacturing ≥40% of annual deployment needs by 2030; batteries listed as strategic net-zero technology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ec.europa.eu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2023.03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Critical Raw Materials Act Proposal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2030 benchmarks: strategic RM extraction 10%, processing 40%, recycling 25% from within EU; single-country dependency ≤65% at any processing stage; simplified permitting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COM(2023) 160 final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2023.04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2023/851 — Amending CO₂ standards for cars and vans (formally adopted)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Formal adoption: 2030 -55% cars, -50% vans; 2035 zero CO₂ for new vehicles (de facto ICE ban); Commission to review technology neutrality (including e-fuels) by 2026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32023R0851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2023.06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Regulation (EU) 2023/1542 — Batteries Regulation adopted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World's first full life-cycle battery regulation: carbon footprint declaration/class/threshold, recycled content, Battery Passport, supply chain due diligence, collection targets; phased from 2024; Battery Passport from 2027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32023R1542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2023.08.17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2023/1542 enters into force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Effective; carbon footprint label from 2025; class from 2026; threshold + Battery Passport from 2027; mandatory recycled content from 2030 (Co 16%, Pb 85%, Li 6%, Ni 6%)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environment.ec.europa.eu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2023.10.01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CBAM Transitional Phase Begins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 (DG TAXUD)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Transitional phase 2023.10–2025.12; importers must report embedded emissions quarterly; no financial payment required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taxation-customs.ec.europa.eu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2023.09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2023/1804 — Alternative Fuels Infrastructure Regulation (AFIR) formally adopted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AFID upgraded to binding Regulation, replacing Directive 2014/94/EU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32023R1804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2024.04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Regulation (EU) 2024/1257 — Euro 7 adopted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Unified emission rules for cars, vans, trucks, buses; first to regulate brake/tyre particle emissions and battery durability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EUR-Lex: CELEX 32024R1257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2024.05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Regulation (EU) 2024/1610 — HDV CO₂ emission standards revised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Extended scope (medium/heavy trucks, buses, coaches, trailers); new targets: 2030 -45%, 2035 -65%, 2040 -90%; new city buses 90% ZEV from 2030, 100% from 2035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32024R1610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2024.10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 imposes additional tariffs on Chinese BEVs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 (DG TRADE)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Anti-subsidy investigation results: additional tariffs on Chinese BEVs: BYD 17.0%, Geely 18.8%, SAIC 35.3% (on top of 10% base tariff)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Official Journal Oct 2024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2024.12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Critical Raw Materials Act enters into force — Regulation (EU) 2024/1252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Effective; 17 strategic and 34 critical raw materials lists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EUR-Lex: CELEX 32024R1252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2025.05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Net-Zero Industry Act enters into force — Regulation (EU) 2025/703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Batteries listed as strategic net-zero technology; mandatory non-price criteria (sustainability, resilience) in procurement/auctions; target ≥40% EU manufacturing by 2030; Net-Zero Acceleration Valleys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single-market-economy.ec.europa.eu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2025.10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EU-China EV tariff framework agreement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 &amp; China MOFCOM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Minimum Import Price (MIP) mechanism partially replaces anti-subsidy tariffs; China withdraws WTO case [needs verification of specific terms]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 Press Corner (2025.10)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2025.12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Automotive Package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Three pillars: ① Revised CO₂ standards — 90% tailpipe zero-emission from 2035, remaining 10% offsetable via low-carbon steel, e-fuels, or biofuels; ② Battery Booster (€1.8bn for battery manufacturing); ③ Automotive Omnibus (regulatory simplification, ~€706m/year savings)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transport.ec.europa.eu; IP/25/3051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2025.12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CO₂ Standards Review — 2035 ICE ban flexibility adjustments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Maintains 2035 direction but adds compliance flexibility (e-fuels, biofuels, low-carbon material offsets) based on review obligation under Reg 2023/851 Art.15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IP/25/3051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2026.01.01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CBAM Definitive Regime Begins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Commission (DG TAXUD)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Imports &gt;50t/year threshold must apply for authorised CBAM declarant status; purchase CBAM certificates (priced at quarterly avg of EU ETS auction price; weekly avg from 2027); annual declaration and surrender; carbon price paid abroad deductible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taxation-customs.ec.europa.eu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2026.02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Battery carbon footprint labelling enters into effect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Batteries Regulation Art.7 implementation — mandatory A-E carbon footprint label for all EV batteries placed on EU market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2026.03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European Climate Law amended — 2040 target set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European Parliament &amp; Council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New legally binding 2040 target: net GHG -90% vs 1990 (domestic -85%, int'l carbon credits ≤5%)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European Commission, climate.ec.europa.eu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2026.03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CBAM Q1 2026 certificate price published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 (DG TAXUD)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First CBAM certificate quarterly price published based on EU ETS auction price; ~€89/tCO₂ [needs verification of exact figure]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European Commission, taxation-customs.ec.europa.eu</w:t>
            </w:r>
          </w:p>
        </w:tc>
      </w:tr>
    </w:tbl>
    <w:p>
      <w:pPr>
        <w:jc w:val="right"/>
      </w:pPr>
      <w:r>
        <w:rPr>
          <w:color w:val="999999"/>
          <w:sz w:val="14"/>
        </w:rPr>
        <w:t>Generated: 2026-05-04 Rev.1 | Contact: www.humanaifit.com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